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41B" w14:textId="3B3C4325" w:rsidR="00FA363F" w:rsidRPr="00FA363F" w:rsidRDefault="00FA363F" w:rsidP="00FA363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A363F">
        <w:rPr>
          <w:rFonts w:ascii="Calibri" w:hAnsi="Calibri" w:cs="Calibri"/>
          <w:b/>
          <w:bCs/>
          <w:sz w:val="28"/>
          <w:szCs w:val="28"/>
        </w:rPr>
        <w:t>Breyon Williams</w:t>
      </w:r>
    </w:p>
    <w:p w14:paraId="2C223A44" w14:textId="2790F54A" w:rsidR="00FA363F" w:rsidRDefault="00CE256A" w:rsidP="00FA363F">
      <w:pPr>
        <w:jc w:val="center"/>
        <w:rPr>
          <w:rFonts w:ascii="Calibri" w:hAnsi="Calibri" w:cs="Calibri"/>
          <w:sz w:val="22"/>
          <w:szCs w:val="22"/>
        </w:rPr>
      </w:pPr>
      <w:r w:rsidRPr="00FA363F">
        <w:rPr>
          <w:rFonts w:ascii="Calibri" w:hAnsi="Calibri" w:cs="Calibri"/>
          <w:sz w:val="22"/>
          <w:szCs w:val="22"/>
        </w:rPr>
        <w:t xml:space="preserve"> Washington, DC</w:t>
      </w:r>
      <w:r>
        <w:rPr>
          <w:rFonts w:ascii="Calibri" w:hAnsi="Calibri" w:cs="Calibri"/>
          <w:sz w:val="22"/>
          <w:szCs w:val="22"/>
        </w:rPr>
        <w:t xml:space="preserve"> </w:t>
      </w:r>
      <w:r w:rsidR="00FA363F" w:rsidRPr="00FA363F">
        <w:rPr>
          <w:rFonts w:ascii="Calibri" w:hAnsi="Calibri" w:cs="Calibri"/>
          <w:sz w:val="22"/>
          <w:szCs w:val="22"/>
        </w:rPr>
        <w:t>| breyon.contact@gmail.com |</w:t>
      </w:r>
    </w:p>
    <w:p w14:paraId="7F47A7AF" w14:textId="77777777" w:rsidR="00FA363F" w:rsidRDefault="00FA363F" w:rsidP="00FA363F">
      <w:pPr>
        <w:jc w:val="center"/>
        <w:rPr>
          <w:rFonts w:ascii="Calibri" w:hAnsi="Calibri" w:cs="Calibri"/>
          <w:sz w:val="22"/>
          <w:szCs w:val="22"/>
        </w:rPr>
      </w:pPr>
      <w:r w:rsidRPr="00FA363F">
        <w:rPr>
          <w:rFonts w:ascii="Calibri" w:hAnsi="Calibri" w:cs="Calibri"/>
          <w:sz w:val="22"/>
          <w:szCs w:val="22"/>
        </w:rPr>
        <w:t>http://www.linkedin.com/in/williamsbreyon |</w:t>
      </w:r>
    </w:p>
    <w:p w14:paraId="71A6BA47" w14:textId="32314A9D" w:rsidR="00FA363F" w:rsidRPr="00FA363F" w:rsidRDefault="00FA363F" w:rsidP="00FA363F">
      <w:pPr>
        <w:jc w:val="center"/>
        <w:rPr>
          <w:rFonts w:ascii="Calibri" w:hAnsi="Calibri" w:cs="Calibri"/>
          <w:sz w:val="22"/>
          <w:szCs w:val="22"/>
        </w:rPr>
      </w:pPr>
      <w:r w:rsidRPr="00FA363F">
        <w:rPr>
          <w:rFonts w:ascii="Calibri" w:hAnsi="Calibri" w:cs="Calibri"/>
          <w:sz w:val="22"/>
          <w:szCs w:val="22"/>
        </w:rPr>
        <w:t xml:space="preserve">http://www.breyononline.com/ </w:t>
      </w:r>
    </w:p>
    <w:p w14:paraId="24453A58" w14:textId="77777777" w:rsidR="00FA363F" w:rsidRPr="00FA363F" w:rsidRDefault="00FA363F" w:rsidP="00FA363F">
      <w:pPr>
        <w:rPr>
          <w:rFonts w:ascii="Calibri" w:hAnsi="Calibri" w:cs="Calibri"/>
          <w:sz w:val="22"/>
          <w:szCs w:val="22"/>
        </w:rPr>
      </w:pPr>
    </w:p>
    <w:p w14:paraId="2941129F" w14:textId="0A8F2E5D" w:rsidR="00FA363F" w:rsidRPr="00CE256A" w:rsidRDefault="0092739C" w:rsidP="00CE256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Senior </w:t>
      </w:r>
      <w:r w:rsidR="00CE256A" w:rsidRPr="00CE256A">
        <w:rPr>
          <w:rFonts w:ascii="Calibri" w:hAnsi="Calibri" w:cs="Calibri"/>
          <w:b/>
          <w:bCs/>
          <w:sz w:val="22"/>
          <w:szCs w:val="22"/>
        </w:rPr>
        <w:t xml:space="preserve">Economist | </w:t>
      </w:r>
      <w:r>
        <w:rPr>
          <w:rFonts w:ascii="Calibri" w:hAnsi="Calibri" w:cs="Calibri"/>
          <w:b/>
          <w:bCs/>
          <w:sz w:val="22"/>
          <w:szCs w:val="22"/>
        </w:rPr>
        <w:t xml:space="preserve">Chief </w:t>
      </w:r>
      <w:r w:rsidR="00CE256A" w:rsidRPr="00CE256A">
        <w:rPr>
          <w:rFonts w:ascii="Calibri" w:hAnsi="Calibri" w:cs="Calibri"/>
          <w:b/>
          <w:bCs/>
          <w:sz w:val="22"/>
          <w:szCs w:val="22"/>
        </w:rPr>
        <w:t>Economist | Director of Research</w:t>
      </w:r>
    </w:p>
    <w:p w14:paraId="4074173B" w14:textId="19782310" w:rsidR="00FA363F" w:rsidRPr="00CE256A" w:rsidRDefault="00FA363F" w:rsidP="00CE256A">
      <w:pPr>
        <w:jc w:val="both"/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>Applied economist with expertise in causal inference, p</w:t>
      </w:r>
      <w:r w:rsidR="00435C3D">
        <w:rPr>
          <w:rFonts w:ascii="Calibri" w:hAnsi="Calibri" w:cs="Calibri"/>
          <w:sz w:val="21"/>
          <w:szCs w:val="21"/>
        </w:rPr>
        <w:t>rogram</w:t>
      </w:r>
      <w:r w:rsidRPr="00CE256A">
        <w:rPr>
          <w:rFonts w:ascii="Calibri" w:hAnsi="Calibri" w:cs="Calibri"/>
          <w:sz w:val="21"/>
          <w:szCs w:val="21"/>
        </w:rPr>
        <w:t xml:space="preserve"> evaluation, and mixed-methods research. Skilled at translating complex data into actionable insights for industry, government, and foundation</w:t>
      </w:r>
      <w:r w:rsidR="00B83F53">
        <w:rPr>
          <w:rFonts w:ascii="Calibri" w:hAnsi="Calibri" w:cs="Calibri"/>
          <w:sz w:val="21"/>
          <w:szCs w:val="21"/>
        </w:rPr>
        <w:t xml:space="preserve"> stakeholders</w:t>
      </w:r>
      <w:r w:rsidRPr="00CE256A">
        <w:rPr>
          <w:rFonts w:ascii="Calibri" w:hAnsi="Calibri" w:cs="Calibri"/>
          <w:sz w:val="21"/>
          <w:szCs w:val="21"/>
        </w:rPr>
        <w:t xml:space="preserve">. Experienced in </w:t>
      </w:r>
      <w:r w:rsidR="00544B1D">
        <w:rPr>
          <w:rFonts w:ascii="Calibri" w:hAnsi="Calibri" w:cs="Calibri"/>
          <w:sz w:val="21"/>
          <w:szCs w:val="21"/>
        </w:rPr>
        <w:t>social</w:t>
      </w:r>
      <w:r w:rsidR="00B83F53">
        <w:rPr>
          <w:rFonts w:ascii="Calibri" w:hAnsi="Calibri" w:cs="Calibri"/>
          <w:sz w:val="21"/>
          <w:szCs w:val="21"/>
        </w:rPr>
        <w:t xml:space="preserve"> policy research, </w:t>
      </w:r>
      <w:r w:rsidRPr="00CE256A">
        <w:rPr>
          <w:rFonts w:ascii="Calibri" w:hAnsi="Calibri" w:cs="Calibri"/>
          <w:sz w:val="21"/>
          <w:szCs w:val="21"/>
        </w:rPr>
        <w:t xml:space="preserve">leading cross-functional teams, designing research plans, managing research projects, </w:t>
      </w:r>
      <w:r w:rsidR="004C664F">
        <w:rPr>
          <w:rFonts w:ascii="Calibri" w:hAnsi="Calibri" w:cs="Calibri"/>
          <w:sz w:val="21"/>
          <w:szCs w:val="21"/>
        </w:rPr>
        <w:t xml:space="preserve">developing and analyzing surveys, </w:t>
      </w:r>
      <w:r w:rsidRPr="00CE256A">
        <w:rPr>
          <w:rFonts w:ascii="Calibri" w:hAnsi="Calibri" w:cs="Calibri"/>
          <w:sz w:val="21"/>
          <w:szCs w:val="21"/>
        </w:rPr>
        <w:t>and collaborating with organizations to strengthen their research capabilities. Passionate about leveraging data and evidence to drive meaningful improvements in well-being.</w:t>
      </w:r>
    </w:p>
    <w:p w14:paraId="40AC187C" w14:textId="77777777" w:rsidR="00FA363F" w:rsidRPr="00CE256A" w:rsidRDefault="00FA363F" w:rsidP="00FA363F">
      <w:pPr>
        <w:rPr>
          <w:rFonts w:ascii="Calibri" w:hAnsi="Calibri" w:cs="Calibri"/>
          <w:sz w:val="21"/>
          <w:szCs w:val="21"/>
        </w:rPr>
      </w:pPr>
    </w:p>
    <w:p w14:paraId="6812B309" w14:textId="77777777" w:rsidR="00CE256A" w:rsidRPr="00CE256A" w:rsidRDefault="00CE256A" w:rsidP="00FA363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E256A">
        <w:rPr>
          <w:rFonts w:ascii="Calibri" w:hAnsi="Calibri" w:cs="Calibri"/>
          <w:b/>
          <w:bCs/>
          <w:sz w:val="22"/>
          <w:szCs w:val="22"/>
        </w:rPr>
        <w:t>Areas of Expertise</w:t>
      </w:r>
    </w:p>
    <w:p w14:paraId="15669D26" w14:textId="447AE385" w:rsidR="00CE256A" w:rsidRPr="00CE256A" w:rsidRDefault="000E0160" w:rsidP="00CE256A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Quantitative Analysis Techniques</w:t>
      </w:r>
      <w:r w:rsidR="00CE256A" w:rsidRPr="00CE256A">
        <w:rPr>
          <w:rFonts w:ascii="Calibri" w:hAnsi="Calibri" w:cs="Calibri"/>
          <w:sz w:val="21"/>
          <w:szCs w:val="21"/>
        </w:rPr>
        <w:t>: Causal inference</w:t>
      </w:r>
      <w:r>
        <w:rPr>
          <w:rFonts w:ascii="Calibri" w:hAnsi="Calibri" w:cs="Calibri"/>
          <w:sz w:val="21"/>
          <w:szCs w:val="21"/>
        </w:rPr>
        <w:t xml:space="preserve"> (</w:t>
      </w:r>
      <w:proofErr w:type="spellStart"/>
      <w:r>
        <w:rPr>
          <w:rFonts w:ascii="Calibri" w:hAnsi="Calibri" w:cs="Calibri"/>
          <w:sz w:val="21"/>
          <w:szCs w:val="21"/>
        </w:rPr>
        <w:t>DiD</w:t>
      </w:r>
      <w:proofErr w:type="spellEnd"/>
      <w:r>
        <w:rPr>
          <w:rFonts w:ascii="Calibri" w:hAnsi="Calibri" w:cs="Calibri"/>
          <w:sz w:val="21"/>
          <w:szCs w:val="21"/>
        </w:rPr>
        <w:t>, matching, IV, RDD)</w:t>
      </w:r>
      <w:r w:rsidR="00CE256A" w:rsidRPr="00CE256A">
        <w:rPr>
          <w:rFonts w:ascii="Calibri" w:hAnsi="Calibri" w:cs="Calibri"/>
          <w:sz w:val="21"/>
          <w:szCs w:val="21"/>
        </w:rPr>
        <w:t>, A/B testing, statistical modeling (regressions, ANOVA, t-test</w:t>
      </w:r>
      <w:r>
        <w:rPr>
          <w:rFonts w:ascii="Calibri" w:hAnsi="Calibri" w:cs="Calibri"/>
          <w:sz w:val="21"/>
          <w:szCs w:val="21"/>
        </w:rPr>
        <w:t>s</w:t>
      </w:r>
      <w:r w:rsidR="00CE256A" w:rsidRPr="00CE256A">
        <w:rPr>
          <w:rFonts w:ascii="Calibri" w:hAnsi="Calibri" w:cs="Calibri"/>
          <w:sz w:val="21"/>
          <w:szCs w:val="21"/>
        </w:rPr>
        <w:t>)</w:t>
      </w:r>
    </w:p>
    <w:p w14:paraId="1CA77E3E" w14:textId="39773AA9" w:rsidR="00CE256A" w:rsidRPr="00CE256A" w:rsidRDefault="00CE256A" w:rsidP="00CE256A">
      <w:pPr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 xml:space="preserve">Research </w:t>
      </w:r>
      <w:r w:rsidR="00121D92">
        <w:rPr>
          <w:rFonts w:ascii="Calibri" w:hAnsi="Calibri" w:cs="Calibri"/>
          <w:b/>
          <w:bCs/>
          <w:sz w:val="21"/>
          <w:szCs w:val="21"/>
        </w:rPr>
        <w:t xml:space="preserve">&amp; Evaluation </w:t>
      </w:r>
      <w:r w:rsidRPr="00CE256A">
        <w:rPr>
          <w:rFonts w:ascii="Calibri" w:hAnsi="Calibri" w:cs="Calibri"/>
          <w:b/>
          <w:bCs/>
          <w:sz w:val="21"/>
          <w:szCs w:val="21"/>
        </w:rPr>
        <w:t>Methods:</w:t>
      </w:r>
      <w:r w:rsidRPr="00CE256A">
        <w:rPr>
          <w:rFonts w:ascii="Calibri" w:hAnsi="Calibri" w:cs="Calibri"/>
          <w:sz w:val="21"/>
          <w:szCs w:val="21"/>
        </w:rPr>
        <w:t xml:space="preserve"> Mixed-methods (survey design, focus groups, interviews), rapid-cycle research, user </w:t>
      </w:r>
      <w:r w:rsidR="00121D92">
        <w:rPr>
          <w:rFonts w:ascii="Calibri" w:hAnsi="Calibri" w:cs="Calibri"/>
          <w:sz w:val="21"/>
          <w:szCs w:val="21"/>
        </w:rPr>
        <w:t xml:space="preserve">and product </w:t>
      </w:r>
      <w:r w:rsidRPr="00CE256A">
        <w:rPr>
          <w:rFonts w:ascii="Calibri" w:hAnsi="Calibri" w:cs="Calibri"/>
          <w:sz w:val="21"/>
          <w:szCs w:val="21"/>
        </w:rPr>
        <w:t>research</w:t>
      </w:r>
      <w:r w:rsidR="00121D92">
        <w:rPr>
          <w:rFonts w:ascii="Calibri" w:hAnsi="Calibri" w:cs="Calibri"/>
          <w:sz w:val="21"/>
          <w:szCs w:val="21"/>
        </w:rPr>
        <w:t>, implementation research</w:t>
      </w:r>
    </w:p>
    <w:p w14:paraId="685B44AD" w14:textId="77777777" w:rsidR="00D62479" w:rsidRDefault="00D62479" w:rsidP="00D62479">
      <w:pPr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Programming</w:t>
      </w:r>
      <w:r>
        <w:rPr>
          <w:rFonts w:ascii="Calibri" w:hAnsi="Calibri" w:cs="Calibri"/>
          <w:b/>
          <w:bCs/>
          <w:sz w:val="21"/>
          <w:szCs w:val="21"/>
        </w:rPr>
        <w:t xml:space="preserve"> and Office tools</w:t>
      </w:r>
      <w:r w:rsidRPr="00CE256A">
        <w:rPr>
          <w:rFonts w:ascii="Calibri" w:hAnsi="Calibri" w:cs="Calibri"/>
          <w:sz w:val="21"/>
          <w:szCs w:val="21"/>
        </w:rPr>
        <w:t>: Stata (expert), Excel (expert), R (proficient),</w:t>
      </w:r>
      <w:r>
        <w:rPr>
          <w:rFonts w:ascii="Calibri" w:hAnsi="Calibri" w:cs="Calibri"/>
          <w:sz w:val="21"/>
          <w:szCs w:val="21"/>
        </w:rPr>
        <w:t xml:space="preserve"> SQL (proficient)</w:t>
      </w:r>
    </w:p>
    <w:p w14:paraId="106690B8" w14:textId="77777777" w:rsidR="00D62479" w:rsidRPr="00CE256A" w:rsidRDefault="00D62479" w:rsidP="00D62479">
      <w:pPr>
        <w:rPr>
          <w:rFonts w:ascii="Calibri" w:hAnsi="Calibri" w:cs="Calibri"/>
          <w:sz w:val="21"/>
          <w:szCs w:val="21"/>
        </w:rPr>
      </w:pPr>
      <w:r w:rsidRPr="00BA5DAF">
        <w:rPr>
          <w:rFonts w:ascii="Calibri" w:hAnsi="Calibri" w:cs="Calibri"/>
          <w:b/>
          <w:bCs/>
          <w:sz w:val="21"/>
          <w:szCs w:val="21"/>
        </w:rPr>
        <w:t>Cloud-based services and tools:</w:t>
      </w:r>
      <w:r>
        <w:rPr>
          <w:rFonts w:ascii="Calibri" w:hAnsi="Calibri" w:cs="Calibri"/>
          <w:sz w:val="21"/>
          <w:szCs w:val="21"/>
        </w:rPr>
        <w:t xml:space="preserve"> AWS S3 (data storage), Amazon </w:t>
      </w:r>
      <w:proofErr w:type="spellStart"/>
      <w:r>
        <w:rPr>
          <w:rFonts w:ascii="Calibri" w:hAnsi="Calibri" w:cs="Calibri"/>
          <w:sz w:val="21"/>
          <w:szCs w:val="21"/>
        </w:rPr>
        <w:t>MTurk</w:t>
      </w:r>
      <w:proofErr w:type="spellEnd"/>
      <w:r>
        <w:rPr>
          <w:rFonts w:ascii="Calibri" w:hAnsi="Calibri" w:cs="Calibri"/>
          <w:sz w:val="21"/>
          <w:szCs w:val="21"/>
        </w:rPr>
        <w:t xml:space="preserve">, Qualtrics (survey and panel management), Tableau and Power BI (data visualization), </w:t>
      </w:r>
      <w:proofErr w:type="spellStart"/>
      <w:r>
        <w:rPr>
          <w:rFonts w:ascii="Calibri" w:hAnsi="Calibri" w:cs="Calibri"/>
          <w:sz w:val="21"/>
          <w:szCs w:val="21"/>
        </w:rPr>
        <w:t>Github</w:t>
      </w:r>
      <w:proofErr w:type="spellEnd"/>
      <w:r>
        <w:rPr>
          <w:rFonts w:ascii="Calibri" w:hAnsi="Calibri" w:cs="Calibri"/>
          <w:sz w:val="21"/>
          <w:szCs w:val="21"/>
        </w:rPr>
        <w:t xml:space="preserve"> (workflow collaboration)</w:t>
      </w:r>
    </w:p>
    <w:p w14:paraId="37715E32" w14:textId="77777777" w:rsidR="00CE256A" w:rsidRPr="00CE256A" w:rsidRDefault="00CE256A" w:rsidP="00CE256A">
      <w:pPr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Project Leadership:</w:t>
      </w:r>
      <w:r w:rsidRPr="00CE256A">
        <w:rPr>
          <w:rFonts w:ascii="Calibri" w:hAnsi="Calibri" w:cs="Calibri"/>
          <w:sz w:val="21"/>
          <w:szCs w:val="21"/>
        </w:rPr>
        <w:t xml:space="preserve"> Project management (budgeting, staffing, monitoring progress), stakeholder engagement, strategic partnerships.</w:t>
      </w:r>
    </w:p>
    <w:p w14:paraId="7FFD8984" w14:textId="77777777" w:rsidR="00CE256A" w:rsidRPr="00CE256A" w:rsidRDefault="00CE256A" w:rsidP="00CE256A">
      <w:pPr>
        <w:rPr>
          <w:rFonts w:ascii="Calibri" w:hAnsi="Calibri" w:cs="Calibri"/>
          <w:b/>
          <w:bCs/>
          <w:sz w:val="21"/>
          <w:szCs w:val="21"/>
        </w:rPr>
      </w:pPr>
    </w:p>
    <w:p w14:paraId="5F094A03" w14:textId="53449D13" w:rsidR="00FA363F" w:rsidRPr="00CE256A" w:rsidRDefault="00CE256A" w:rsidP="00CE256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E256A">
        <w:rPr>
          <w:rFonts w:ascii="Calibri" w:hAnsi="Calibri" w:cs="Calibri"/>
          <w:b/>
          <w:bCs/>
          <w:sz w:val="22"/>
          <w:szCs w:val="22"/>
        </w:rPr>
        <w:t xml:space="preserve">Professional </w:t>
      </w:r>
      <w:r w:rsidR="00FA363F" w:rsidRPr="00CE256A">
        <w:rPr>
          <w:rFonts w:ascii="Calibri" w:hAnsi="Calibri" w:cs="Calibri"/>
          <w:b/>
          <w:bCs/>
          <w:sz w:val="22"/>
          <w:szCs w:val="22"/>
        </w:rPr>
        <w:t>Experience</w:t>
      </w:r>
    </w:p>
    <w:p w14:paraId="57B6C265" w14:textId="2CD8D64B" w:rsidR="00E518F4" w:rsidRPr="00CE256A" w:rsidRDefault="00E518F4" w:rsidP="00E518F4">
      <w:pPr>
        <w:tabs>
          <w:tab w:val="right" w:pos="9990"/>
        </w:tabs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Groundwork Collaborative</w:t>
      </w:r>
      <w:r w:rsidRPr="00CE256A">
        <w:rPr>
          <w:rFonts w:ascii="Calibri" w:hAnsi="Calibri" w:cs="Calibri"/>
          <w:sz w:val="21"/>
          <w:szCs w:val="21"/>
        </w:rPr>
        <w:t xml:space="preserve"> | Washington, DC</w:t>
      </w:r>
      <w:r w:rsidRPr="00CE256A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>July</w:t>
      </w:r>
      <w:r w:rsidRPr="00CE256A">
        <w:rPr>
          <w:rFonts w:ascii="Calibri" w:hAnsi="Calibri" w:cs="Calibri"/>
          <w:b/>
          <w:bCs/>
          <w:sz w:val="21"/>
          <w:szCs w:val="21"/>
        </w:rPr>
        <w:t xml:space="preserve"> 2025 – Present</w:t>
      </w:r>
    </w:p>
    <w:p w14:paraId="194C6FDD" w14:textId="3F908D7E" w:rsidR="00E518F4" w:rsidRPr="00CE256A" w:rsidRDefault="00E518F4" w:rsidP="00E518F4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Chief Economist</w:t>
      </w:r>
    </w:p>
    <w:p w14:paraId="246C3C97" w14:textId="1F0DFFCF" w:rsidR="00E518F4" w:rsidRPr="00501837" w:rsidRDefault="00BF2B22" w:rsidP="00E518F4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Conducts rigorous research to build the public and policy case for fair prices, worker outcomes, and accountable corporate power.</w:t>
      </w:r>
    </w:p>
    <w:p w14:paraId="6A72F891" w14:textId="27194F44" w:rsidR="00E518F4" w:rsidRPr="00BF2B22" w:rsidRDefault="00BF2B22" w:rsidP="00BF2B22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Lead original quantitative research on consumers, workers, and market power, producing the empirical foundation for Groundwork products.</w:t>
      </w:r>
    </w:p>
    <w:p w14:paraId="2DD2D5D6" w14:textId="4BDD5704" w:rsidR="00BF2B22" w:rsidRPr="00BF2B22" w:rsidRDefault="00BF2B22" w:rsidP="00BF2B22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Develop economic commentary around major economic metrics and developments, including inflation, employment, and Federal Reserve decisions, driving Groundwork’s press footprint on policy.</w:t>
      </w:r>
    </w:p>
    <w:p w14:paraId="53F6C38D" w14:textId="77777777" w:rsidR="00BF2B22" w:rsidRDefault="00BF2B22" w:rsidP="00BF2B22">
      <w:pPr>
        <w:pStyle w:val="ListParagraph"/>
        <w:ind w:left="540"/>
        <w:rPr>
          <w:rFonts w:ascii="Calibri" w:hAnsi="Calibri" w:cs="Calibri"/>
          <w:b/>
          <w:bCs/>
          <w:sz w:val="21"/>
          <w:szCs w:val="21"/>
        </w:rPr>
      </w:pPr>
    </w:p>
    <w:p w14:paraId="244B64F0" w14:textId="096E6059" w:rsidR="00D62479" w:rsidRPr="00CE256A" w:rsidRDefault="00D62479" w:rsidP="00D62479">
      <w:pPr>
        <w:tabs>
          <w:tab w:val="right" w:pos="9990"/>
        </w:tabs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Independent Consultant</w:t>
      </w:r>
      <w:r w:rsidRPr="00CE256A">
        <w:rPr>
          <w:rFonts w:ascii="Calibri" w:hAnsi="Calibri" w:cs="Calibri"/>
          <w:sz w:val="21"/>
          <w:szCs w:val="21"/>
        </w:rPr>
        <w:t xml:space="preserve"> | Washington, DC</w:t>
      </w:r>
      <w:r w:rsidRPr="00CE256A">
        <w:rPr>
          <w:rFonts w:ascii="Calibri" w:hAnsi="Calibri" w:cs="Calibri"/>
          <w:sz w:val="21"/>
          <w:szCs w:val="21"/>
        </w:rPr>
        <w:tab/>
      </w:r>
      <w:r w:rsidRPr="00CE256A">
        <w:rPr>
          <w:rFonts w:ascii="Calibri" w:hAnsi="Calibri" w:cs="Calibri"/>
          <w:b/>
          <w:bCs/>
          <w:sz w:val="21"/>
          <w:szCs w:val="21"/>
        </w:rPr>
        <w:t>March 2025 – Present</w:t>
      </w:r>
    </w:p>
    <w:p w14:paraId="7B6C1AD5" w14:textId="77777777" w:rsidR="00D62479" w:rsidRPr="00CE256A" w:rsidRDefault="00D62479" w:rsidP="00D62479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Senior Consultant</w:t>
      </w:r>
    </w:p>
    <w:p w14:paraId="7A41115F" w14:textId="2D44581B" w:rsidR="00501837" w:rsidRPr="00501837" w:rsidRDefault="00D62479" w:rsidP="00501837">
      <w:pPr>
        <w:rPr>
          <w:rFonts w:ascii="Calibri" w:hAnsi="Calibri" w:cs="Calibri"/>
          <w:sz w:val="21"/>
          <w:szCs w:val="21"/>
        </w:rPr>
      </w:pPr>
      <w:r w:rsidRPr="00F5607A">
        <w:rPr>
          <w:rFonts w:ascii="Calibri" w:hAnsi="Calibri" w:cs="Calibri"/>
          <w:sz w:val="21"/>
          <w:szCs w:val="21"/>
        </w:rPr>
        <w:t>Provide research and strategic advisory support on Gates Foundation–funded initiatives</w:t>
      </w:r>
      <w:r>
        <w:rPr>
          <w:rFonts w:ascii="Calibri" w:hAnsi="Calibri" w:cs="Calibri"/>
          <w:sz w:val="21"/>
          <w:szCs w:val="21"/>
        </w:rPr>
        <w:t xml:space="preserve"> via partnerships </w:t>
      </w:r>
      <w:r w:rsidRPr="00F5607A">
        <w:rPr>
          <w:rFonts w:ascii="Calibri" w:hAnsi="Calibri" w:cs="Calibri"/>
          <w:sz w:val="21"/>
          <w:szCs w:val="21"/>
        </w:rPr>
        <w:t>with</w:t>
      </w:r>
      <w:r>
        <w:rPr>
          <w:rFonts w:ascii="Calibri" w:hAnsi="Calibri" w:cs="Calibri"/>
          <w:sz w:val="21"/>
          <w:szCs w:val="21"/>
        </w:rPr>
        <w:t xml:space="preserve"> </w:t>
      </w:r>
      <w:r w:rsidRPr="00F5607A">
        <w:rPr>
          <w:rFonts w:ascii="Calibri" w:hAnsi="Calibri" w:cs="Calibri"/>
          <w:sz w:val="21"/>
          <w:szCs w:val="21"/>
        </w:rPr>
        <w:t xml:space="preserve">Tyton Partners and a </w:t>
      </w:r>
      <w:r>
        <w:rPr>
          <w:rFonts w:ascii="Calibri" w:hAnsi="Calibri" w:cs="Calibri"/>
          <w:sz w:val="21"/>
          <w:szCs w:val="21"/>
        </w:rPr>
        <w:t>research collaboration</w:t>
      </w:r>
      <w:r w:rsidRPr="00F5607A">
        <w:rPr>
          <w:rFonts w:ascii="Calibri" w:hAnsi="Calibri" w:cs="Calibri"/>
          <w:sz w:val="21"/>
          <w:szCs w:val="21"/>
        </w:rPr>
        <w:t xml:space="preserve"> led by Carnegie Mellon University.</w:t>
      </w:r>
    </w:p>
    <w:p w14:paraId="6CE6BFFA" w14:textId="2DEFD916" w:rsidR="00501837" w:rsidRDefault="00501837" w:rsidP="003F011C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Contributed to the development of a research plan to examine an AI-enabled digital learning product across its design, implementation, and efficacy phases.</w:t>
      </w:r>
    </w:p>
    <w:p w14:paraId="41604834" w14:textId="661C6A1D" w:rsidR="00501837" w:rsidRPr="00501837" w:rsidRDefault="00501837" w:rsidP="003F011C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Led the redesign and analysis of three national surveys to assess field adoption and use of an education-to-workforce data framework.</w:t>
      </w:r>
    </w:p>
    <w:p w14:paraId="72775B12" w14:textId="77777777" w:rsidR="00CE256A" w:rsidRPr="00CE256A" w:rsidRDefault="00CE256A" w:rsidP="00391A5F">
      <w:pPr>
        <w:tabs>
          <w:tab w:val="right" w:pos="9990"/>
        </w:tabs>
        <w:rPr>
          <w:rFonts w:ascii="Calibri" w:hAnsi="Calibri" w:cs="Calibri"/>
          <w:b/>
          <w:bCs/>
          <w:sz w:val="21"/>
          <w:szCs w:val="21"/>
        </w:rPr>
      </w:pPr>
    </w:p>
    <w:p w14:paraId="4DC3D06B" w14:textId="10B45D98" w:rsidR="00FA363F" w:rsidRPr="00CE256A" w:rsidRDefault="00FA363F" w:rsidP="00391A5F">
      <w:pPr>
        <w:tabs>
          <w:tab w:val="right" w:pos="9990"/>
        </w:tabs>
        <w:rPr>
          <w:rFonts w:ascii="Calibri" w:hAnsi="Calibri" w:cs="Calibri"/>
          <w:b/>
          <w:bCs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Mathematica</w:t>
      </w:r>
      <w:r w:rsidRPr="00CE256A">
        <w:rPr>
          <w:rFonts w:ascii="Calibri" w:hAnsi="Calibri" w:cs="Calibri"/>
          <w:sz w:val="21"/>
          <w:szCs w:val="21"/>
        </w:rPr>
        <w:t xml:space="preserve"> | Washington, DC</w:t>
      </w:r>
      <w:r w:rsidR="00391A5F" w:rsidRPr="00CE256A">
        <w:rPr>
          <w:rFonts w:ascii="Calibri" w:hAnsi="Calibri" w:cs="Calibri"/>
          <w:sz w:val="21"/>
          <w:szCs w:val="21"/>
        </w:rPr>
        <w:tab/>
      </w:r>
      <w:r w:rsidR="00391A5F" w:rsidRPr="00CE256A">
        <w:rPr>
          <w:rFonts w:ascii="Calibri" w:hAnsi="Calibri" w:cs="Calibri"/>
          <w:b/>
          <w:bCs/>
          <w:sz w:val="21"/>
          <w:szCs w:val="21"/>
        </w:rPr>
        <w:t>August</w:t>
      </w:r>
      <w:r w:rsidRPr="00CE256A">
        <w:rPr>
          <w:rFonts w:ascii="Calibri" w:hAnsi="Calibri" w:cs="Calibri"/>
          <w:b/>
          <w:bCs/>
          <w:sz w:val="21"/>
          <w:szCs w:val="21"/>
        </w:rPr>
        <w:t xml:space="preserve"> 2020 – Mar</w:t>
      </w:r>
      <w:r w:rsidR="00391A5F" w:rsidRPr="00CE256A">
        <w:rPr>
          <w:rFonts w:ascii="Calibri" w:hAnsi="Calibri" w:cs="Calibri"/>
          <w:b/>
          <w:bCs/>
          <w:sz w:val="21"/>
          <w:szCs w:val="21"/>
        </w:rPr>
        <w:t>ch</w:t>
      </w:r>
      <w:r w:rsidRPr="00CE256A">
        <w:rPr>
          <w:rFonts w:ascii="Calibri" w:hAnsi="Calibri" w:cs="Calibri"/>
          <w:b/>
          <w:bCs/>
          <w:sz w:val="21"/>
          <w:szCs w:val="21"/>
        </w:rPr>
        <w:t xml:space="preserve"> 2025</w:t>
      </w:r>
    </w:p>
    <w:p w14:paraId="5346889F" w14:textId="77777777" w:rsidR="00391A5F" w:rsidRPr="00CE256A" w:rsidRDefault="00391A5F" w:rsidP="00391A5F">
      <w:pPr>
        <w:rPr>
          <w:rFonts w:ascii="Calibri" w:hAnsi="Calibri" w:cs="Calibri"/>
          <w:b/>
          <w:bCs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Researcher</w:t>
      </w:r>
    </w:p>
    <w:p w14:paraId="6C1F825E" w14:textId="2BB04EEE" w:rsidR="00FA363F" w:rsidRPr="00CE256A" w:rsidRDefault="00FA363F" w:rsidP="00CE256A">
      <w:pPr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>Led data collection and analysis tasks across multiple education and workforce development evaluations, translating complex data into actionable insights for policymakers, funders, and program leaders.</w:t>
      </w:r>
    </w:p>
    <w:p w14:paraId="30D0F509" w14:textId="77777777" w:rsidR="00BA6E29" w:rsidRDefault="00BA6E29" w:rsidP="00391A5F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 w:rsidRPr="003C6B26">
        <w:rPr>
          <w:rFonts w:ascii="Calibri" w:hAnsi="Calibri" w:cs="Calibri"/>
          <w:sz w:val="21"/>
          <w:szCs w:val="21"/>
        </w:rPr>
        <w:t xml:space="preserve">Led data analysis across major evaluations using </w:t>
      </w:r>
      <w:proofErr w:type="spellStart"/>
      <w:r w:rsidRPr="003C6B26">
        <w:rPr>
          <w:rFonts w:ascii="Calibri" w:hAnsi="Calibri" w:cs="Calibri"/>
          <w:sz w:val="21"/>
          <w:szCs w:val="21"/>
        </w:rPr>
        <w:t>DiD</w:t>
      </w:r>
      <w:proofErr w:type="spellEnd"/>
      <w:r w:rsidRPr="003C6B26">
        <w:rPr>
          <w:rFonts w:ascii="Calibri" w:hAnsi="Calibri" w:cs="Calibri"/>
          <w:sz w:val="21"/>
          <w:szCs w:val="21"/>
        </w:rPr>
        <w:t xml:space="preserve"> and matching methods to estimate causal impacts.</w:t>
      </w:r>
    </w:p>
    <w:p w14:paraId="79A6EF5D" w14:textId="77777777" w:rsidR="00BA6E29" w:rsidRPr="00BA6E29" w:rsidRDefault="00B83F53" w:rsidP="00BA6E29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Produced</w:t>
      </w:r>
      <w:r w:rsidR="00FA363F" w:rsidRPr="00CE256A">
        <w:rPr>
          <w:rFonts w:ascii="Calibri" w:hAnsi="Calibri" w:cs="Calibri"/>
          <w:sz w:val="21"/>
          <w:szCs w:val="21"/>
        </w:rPr>
        <w:t xml:space="preserve"> research briefs, reports,</w:t>
      </w:r>
      <w:r w:rsidR="00104525">
        <w:rPr>
          <w:rFonts w:ascii="Calibri" w:hAnsi="Calibri" w:cs="Calibri"/>
          <w:sz w:val="21"/>
          <w:szCs w:val="21"/>
        </w:rPr>
        <w:t xml:space="preserve"> </w:t>
      </w:r>
      <w:r w:rsidR="00FA363F" w:rsidRPr="00CE256A">
        <w:rPr>
          <w:rFonts w:ascii="Calibri" w:hAnsi="Calibri" w:cs="Calibri"/>
          <w:sz w:val="21"/>
          <w:szCs w:val="21"/>
        </w:rPr>
        <w:t>infographics</w:t>
      </w:r>
      <w:r w:rsidR="00104525">
        <w:rPr>
          <w:rFonts w:ascii="Calibri" w:hAnsi="Calibri" w:cs="Calibri"/>
          <w:sz w:val="21"/>
          <w:szCs w:val="21"/>
        </w:rPr>
        <w:t>, and dashboards</w:t>
      </w:r>
      <w:r w:rsidR="00FA363F" w:rsidRPr="00CE256A">
        <w:rPr>
          <w:rFonts w:ascii="Calibri" w:hAnsi="Calibri" w:cs="Calibri"/>
          <w:sz w:val="21"/>
          <w:szCs w:val="21"/>
        </w:rPr>
        <w:t xml:space="preserve"> to disseminate actionable insights to stakeholders.</w:t>
      </w:r>
      <w:r w:rsidR="00EF3932" w:rsidRPr="00EF3932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4A6616F8" w14:textId="3C54D2A4" w:rsidR="00BA6E29" w:rsidRPr="00BA6E29" w:rsidRDefault="00BA6E29" w:rsidP="00BA6E29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Served </w:t>
      </w:r>
      <w:r w:rsidRPr="003C6B26">
        <w:rPr>
          <w:rFonts w:ascii="Calibri" w:hAnsi="Calibri" w:cs="Calibri"/>
          <w:sz w:val="21"/>
          <w:szCs w:val="21"/>
        </w:rPr>
        <w:t>as research lead</w:t>
      </w:r>
      <w:r>
        <w:rPr>
          <w:rFonts w:ascii="Calibri" w:hAnsi="Calibri" w:cs="Calibri"/>
          <w:sz w:val="21"/>
          <w:szCs w:val="21"/>
        </w:rPr>
        <w:t>,</w:t>
      </w:r>
      <w:r w:rsidRPr="003C6B26">
        <w:rPr>
          <w:rFonts w:ascii="Calibri" w:hAnsi="Calibri" w:cs="Calibri"/>
          <w:sz w:val="21"/>
          <w:szCs w:val="21"/>
        </w:rPr>
        <w:t xml:space="preserve"> interfacing with IES on Pell Grant eligibility expansion RCT; presented to federal leadership.</w:t>
      </w:r>
    </w:p>
    <w:p w14:paraId="394D7254" w14:textId="7CAB8AAD" w:rsidR="00CE256A" w:rsidRPr="00BA6E29" w:rsidRDefault="00BA6E29" w:rsidP="00BA6E29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 w:rsidRPr="003C6B26">
        <w:rPr>
          <w:rFonts w:ascii="Calibri" w:hAnsi="Calibri" w:cs="Calibri"/>
          <w:sz w:val="21"/>
          <w:szCs w:val="21"/>
        </w:rPr>
        <w:lastRenderedPageBreak/>
        <w:t>Managed federal and philanthropic projects</w:t>
      </w:r>
      <w:r>
        <w:rPr>
          <w:rFonts w:ascii="Calibri" w:hAnsi="Calibri" w:cs="Calibri"/>
          <w:sz w:val="21"/>
          <w:szCs w:val="21"/>
        </w:rPr>
        <w:t xml:space="preserve"> (e.g., U.S. Department of Education, Gates Foundation)</w:t>
      </w:r>
      <w:r w:rsidRPr="003C6B26">
        <w:rPr>
          <w:rFonts w:ascii="Calibri" w:hAnsi="Calibri" w:cs="Calibri"/>
          <w:sz w:val="21"/>
          <w:szCs w:val="21"/>
        </w:rPr>
        <w:t xml:space="preserve"> with budgets up to $3M and teams of 2–25 staff.</w:t>
      </w:r>
    </w:p>
    <w:p w14:paraId="2ACAE426" w14:textId="77777777" w:rsidR="00D71C60" w:rsidRPr="00CE256A" w:rsidRDefault="00D71C60" w:rsidP="00D71C60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>Secured ~$5 million in new revenue by leading contract procurement efforts, developing successful bids, and forging strategic partnerships.</w:t>
      </w:r>
    </w:p>
    <w:p w14:paraId="76836BC9" w14:textId="1627DD3B" w:rsidR="00D71C60" w:rsidRDefault="00D71C60" w:rsidP="00D71C60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 xml:space="preserve">Supported </w:t>
      </w:r>
      <w:r w:rsidR="00BA6E29">
        <w:rPr>
          <w:rFonts w:ascii="Calibri" w:hAnsi="Calibri" w:cs="Calibri"/>
          <w:sz w:val="21"/>
          <w:szCs w:val="21"/>
        </w:rPr>
        <w:t>education and philanthropic partners</w:t>
      </w:r>
      <w:r w:rsidRPr="00CE256A">
        <w:rPr>
          <w:rFonts w:ascii="Calibri" w:hAnsi="Calibri" w:cs="Calibri"/>
          <w:sz w:val="21"/>
          <w:szCs w:val="21"/>
        </w:rPr>
        <w:t xml:space="preserve"> through technical assistance</w:t>
      </w:r>
      <w:r w:rsidR="00BA6E29">
        <w:rPr>
          <w:rFonts w:ascii="Calibri" w:hAnsi="Calibri" w:cs="Calibri"/>
          <w:sz w:val="21"/>
          <w:szCs w:val="21"/>
        </w:rPr>
        <w:t xml:space="preserve"> support (e.g., rapid-cycle research, </w:t>
      </w:r>
      <w:r w:rsidRPr="00CE256A">
        <w:rPr>
          <w:rFonts w:ascii="Calibri" w:hAnsi="Calibri" w:cs="Calibri"/>
          <w:sz w:val="21"/>
          <w:szCs w:val="21"/>
        </w:rPr>
        <w:t xml:space="preserve">grant writing, </w:t>
      </w:r>
      <w:r w:rsidR="00BA6E29">
        <w:rPr>
          <w:rFonts w:ascii="Calibri" w:hAnsi="Calibri" w:cs="Calibri"/>
          <w:sz w:val="21"/>
          <w:szCs w:val="21"/>
        </w:rPr>
        <w:t>securing data-sharing agreements with school districts,</w:t>
      </w:r>
      <w:r w:rsidRPr="00CE256A">
        <w:rPr>
          <w:rFonts w:ascii="Calibri" w:hAnsi="Calibri" w:cs="Calibri"/>
          <w:sz w:val="21"/>
          <w:szCs w:val="21"/>
        </w:rPr>
        <w:t xml:space="preserve"> strategic planning</w:t>
      </w:r>
      <w:r>
        <w:rPr>
          <w:rFonts w:ascii="Calibri" w:hAnsi="Calibri" w:cs="Calibri"/>
          <w:sz w:val="21"/>
          <w:szCs w:val="21"/>
        </w:rPr>
        <w:t xml:space="preserve"> support</w:t>
      </w:r>
      <w:r w:rsidR="00BA6E29">
        <w:rPr>
          <w:rFonts w:ascii="Calibri" w:hAnsi="Calibri" w:cs="Calibri"/>
          <w:sz w:val="21"/>
          <w:szCs w:val="21"/>
        </w:rPr>
        <w:t>)</w:t>
      </w:r>
      <w:r w:rsidRPr="00CE256A">
        <w:rPr>
          <w:rFonts w:ascii="Calibri" w:hAnsi="Calibri" w:cs="Calibri"/>
          <w:sz w:val="21"/>
          <w:szCs w:val="21"/>
        </w:rPr>
        <w:t>, helping them leverage</w:t>
      </w:r>
      <w:r w:rsidR="00BA6E29">
        <w:rPr>
          <w:rFonts w:ascii="Calibri" w:hAnsi="Calibri" w:cs="Calibri"/>
          <w:sz w:val="21"/>
          <w:szCs w:val="21"/>
        </w:rPr>
        <w:t xml:space="preserve"> KPIs</w:t>
      </w:r>
      <w:r w:rsidRPr="00CE256A">
        <w:rPr>
          <w:rFonts w:ascii="Calibri" w:hAnsi="Calibri" w:cs="Calibri"/>
          <w:sz w:val="21"/>
          <w:szCs w:val="21"/>
        </w:rPr>
        <w:t xml:space="preserve"> to drive continuous improvement and </w:t>
      </w:r>
      <w:r w:rsidR="00BA6E29">
        <w:rPr>
          <w:rFonts w:ascii="Calibri" w:hAnsi="Calibri" w:cs="Calibri"/>
          <w:sz w:val="21"/>
          <w:szCs w:val="21"/>
        </w:rPr>
        <w:t>impact</w:t>
      </w:r>
      <w:r w:rsidRPr="00CE256A">
        <w:rPr>
          <w:rFonts w:ascii="Calibri" w:hAnsi="Calibri" w:cs="Calibri"/>
          <w:sz w:val="21"/>
          <w:szCs w:val="21"/>
        </w:rPr>
        <w:t>.</w:t>
      </w:r>
    </w:p>
    <w:p w14:paraId="36DC8325" w14:textId="77777777" w:rsidR="00391A5F" w:rsidRPr="00CE256A" w:rsidRDefault="00391A5F" w:rsidP="00FA363F">
      <w:pPr>
        <w:rPr>
          <w:rFonts w:ascii="Calibri" w:hAnsi="Calibri" w:cs="Calibri"/>
          <w:sz w:val="21"/>
          <w:szCs w:val="21"/>
        </w:rPr>
      </w:pPr>
    </w:p>
    <w:p w14:paraId="68B86E59" w14:textId="77777777" w:rsidR="00D62479" w:rsidRPr="00CE256A" w:rsidRDefault="00D62479" w:rsidP="00D62479">
      <w:pPr>
        <w:tabs>
          <w:tab w:val="right" w:pos="9990"/>
        </w:tabs>
        <w:rPr>
          <w:rFonts w:ascii="Calibri" w:hAnsi="Calibri" w:cs="Calibri"/>
          <w:b/>
          <w:bCs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Analysis Group</w:t>
      </w:r>
      <w:r w:rsidRPr="00CE256A">
        <w:rPr>
          <w:rFonts w:ascii="Calibri" w:hAnsi="Calibri" w:cs="Calibri"/>
          <w:sz w:val="21"/>
          <w:szCs w:val="21"/>
        </w:rPr>
        <w:t xml:space="preserve"> | Boston, MA</w:t>
      </w:r>
      <w:r w:rsidRPr="00CE256A">
        <w:rPr>
          <w:rFonts w:ascii="Calibri" w:hAnsi="Calibri" w:cs="Calibri"/>
          <w:sz w:val="21"/>
          <w:szCs w:val="21"/>
        </w:rPr>
        <w:tab/>
      </w:r>
      <w:r w:rsidRPr="00CE256A">
        <w:rPr>
          <w:rFonts w:ascii="Calibri" w:hAnsi="Calibri" w:cs="Calibri"/>
          <w:b/>
          <w:bCs/>
          <w:sz w:val="21"/>
          <w:szCs w:val="21"/>
        </w:rPr>
        <w:t>August 2019 – August 2020</w:t>
      </w:r>
    </w:p>
    <w:p w14:paraId="066E4113" w14:textId="77777777" w:rsidR="00D62479" w:rsidRPr="00CE256A" w:rsidRDefault="00D62479" w:rsidP="00D62479">
      <w:pPr>
        <w:rPr>
          <w:rFonts w:ascii="Calibri" w:hAnsi="Calibri" w:cs="Calibri"/>
          <w:b/>
          <w:bCs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Associate</w:t>
      </w:r>
    </w:p>
    <w:p w14:paraId="4EC3293A" w14:textId="77777777" w:rsidR="00D62479" w:rsidRPr="00CE256A" w:rsidRDefault="00D62479" w:rsidP="00D62479">
      <w:pPr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>Conducted empirical research and data analysis to support litigation in digital advertising, biotech, and consumer protection cases, translating complex findings into expert reports used in court proceedings.</w:t>
      </w:r>
    </w:p>
    <w:p w14:paraId="3011802C" w14:textId="77777777" w:rsidR="00D62479" w:rsidRPr="001E5726" w:rsidRDefault="00D62479" w:rsidP="00D62479">
      <w:pPr>
        <w:numPr>
          <w:ilvl w:val="0"/>
          <w:numId w:val="8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>Led UX and ad auction analyses for antitrust litigation involving a social media company.</w:t>
      </w:r>
    </w:p>
    <w:p w14:paraId="2A6ED341" w14:textId="77777777" w:rsidR="00D62479" w:rsidRPr="001E5726" w:rsidRDefault="00D62479" w:rsidP="00D62479">
      <w:pPr>
        <w:numPr>
          <w:ilvl w:val="0"/>
          <w:numId w:val="8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>Used A/B tests and natural experiments to assess impact of ad targeting on user engagement.</w:t>
      </w:r>
    </w:p>
    <w:p w14:paraId="78AB3216" w14:textId="77777777" w:rsidR="00D62479" w:rsidRPr="001E5726" w:rsidRDefault="00D62479" w:rsidP="00D62479">
      <w:pPr>
        <w:numPr>
          <w:ilvl w:val="0"/>
          <w:numId w:val="8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>Conducted claims data analysis and statistical modeling in healthcare and consumer protection cases.</w:t>
      </w:r>
    </w:p>
    <w:p w14:paraId="79630123" w14:textId="77777777" w:rsidR="00897A1F" w:rsidRPr="00CE256A" w:rsidRDefault="00897A1F" w:rsidP="00FA363F">
      <w:pPr>
        <w:rPr>
          <w:rFonts w:ascii="Calibri" w:hAnsi="Calibri" w:cs="Calibri"/>
          <w:sz w:val="21"/>
          <w:szCs w:val="21"/>
        </w:rPr>
      </w:pPr>
    </w:p>
    <w:p w14:paraId="62102834" w14:textId="1295D709" w:rsidR="00FA363F" w:rsidRPr="00CE256A" w:rsidRDefault="00FA363F" w:rsidP="00897A1F">
      <w:pPr>
        <w:tabs>
          <w:tab w:val="right" w:pos="9990"/>
        </w:tabs>
        <w:rPr>
          <w:rFonts w:ascii="Calibri" w:hAnsi="Calibri" w:cs="Calibri"/>
          <w:b/>
          <w:bCs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South Carolina Revenue &amp; Fiscal Affairs Office</w:t>
      </w:r>
      <w:r w:rsidRPr="00CE256A">
        <w:rPr>
          <w:rFonts w:ascii="Calibri" w:hAnsi="Calibri" w:cs="Calibri"/>
          <w:sz w:val="21"/>
          <w:szCs w:val="21"/>
        </w:rPr>
        <w:t xml:space="preserve"> | Columbia, SC</w:t>
      </w:r>
      <w:r w:rsidR="00897A1F" w:rsidRPr="00CE256A">
        <w:rPr>
          <w:rFonts w:ascii="Calibri" w:hAnsi="Calibri" w:cs="Calibri"/>
          <w:sz w:val="21"/>
          <w:szCs w:val="21"/>
        </w:rPr>
        <w:tab/>
      </w:r>
      <w:r w:rsidRPr="00CE256A">
        <w:rPr>
          <w:rFonts w:ascii="Calibri" w:hAnsi="Calibri" w:cs="Calibri"/>
          <w:b/>
          <w:bCs/>
          <w:sz w:val="21"/>
          <w:szCs w:val="21"/>
        </w:rPr>
        <w:t>Mar</w:t>
      </w:r>
      <w:r w:rsidR="00897A1F" w:rsidRPr="00CE256A">
        <w:rPr>
          <w:rFonts w:ascii="Calibri" w:hAnsi="Calibri" w:cs="Calibri"/>
          <w:b/>
          <w:bCs/>
          <w:sz w:val="21"/>
          <w:szCs w:val="21"/>
        </w:rPr>
        <w:t>ch</w:t>
      </w:r>
      <w:r w:rsidRPr="00CE256A">
        <w:rPr>
          <w:rFonts w:ascii="Calibri" w:hAnsi="Calibri" w:cs="Calibri"/>
          <w:b/>
          <w:bCs/>
          <w:sz w:val="21"/>
          <w:szCs w:val="21"/>
        </w:rPr>
        <w:t xml:space="preserve"> 2013 – </w:t>
      </w:r>
      <w:r w:rsidR="00897A1F" w:rsidRPr="00CE256A">
        <w:rPr>
          <w:rFonts w:ascii="Calibri" w:hAnsi="Calibri" w:cs="Calibri"/>
          <w:b/>
          <w:bCs/>
          <w:sz w:val="21"/>
          <w:szCs w:val="21"/>
        </w:rPr>
        <w:t>August</w:t>
      </w:r>
      <w:r w:rsidRPr="00CE256A">
        <w:rPr>
          <w:rFonts w:ascii="Calibri" w:hAnsi="Calibri" w:cs="Calibri"/>
          <w:b/>
          <w:bCs/>
          <w:sz w:val="21"/>
          <w:szCs w:val="21"/>
        </w:rPr>
        <w:t xml:space="preserve"> 2014</w:t>
      </w:r>
    </w:p>
    <w:p w14:paraId="59D1EFE6" w14:textId="7038E50A" w:rsidR="00897A1F" w:rsidRDefault="0095612F" w:rsidP="00897A1F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Economic Analyst</w:t>
      </w:r>
    </w:p>
    <w:p w14:paraId="61926A92" w14:textId="77777777" w:rsidR="00913BA8" w:rsidRPr="00D71C60" w:rsidRDefault="00913BA8" w:rsidP="00913BA8">
      <w:pPr>
        <w:rPr>
          <w:rFonts w:ascii="Calibri" w:hAnsi="Calibri" w:cs="Calibri"/>
          <w:sz w:val="21"/>
          <w:szCs w:val="21"/>
        </w:rPr>
      </w:pPr>
      <w:r w:rsidRPr="00D71C60">
        <w:rPr>
          <w:rFonts w:ascii="Calibri" w:hAnsi="Calibri" w:cs="Calibri"/>
          <w:sz w:val="21"/>
          <w:szCs w:val="21"/>
        </w:rPr>
        <w:t>Provided fiscal and economic analysis to support revenue forecasting, tax policy development, and legislative decision-making for the State of South Carolina.</w:t>
      </w:r>
    </w:p>
    <w:p w14:paraId="490F4E1D" w14:textId="77777777" w:rsidR="00913BA8" w:rsidRPr="001E5726" w:rsidRDefault="00913BA8" w:rsidP="00913BA8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 xml:space="preserve">Modeled </w:t>
      </w:r>
      <w:r>
        <w:rPr>
          <w:rFonts w:ascii="Calibri" w:hAnsi="Calibri" w:cs="Calibri"/>
          <w:sz w:val="21"/>
          <w:szCs w:val="21"/>
        </w:rPr>
        <w:t xml:space="preserve">economic </w:t>
      </w:r>
      <w:r w:rsidRPr="001E5726">
        <w:rPr>
          <w:rFonts w:ascii="Calibri" w:hAnsi="Calibri" w:cs="Calibri"/>
          <w:sz w:val="21"/>
          <w:szCs w:val="21"/>
        </w:rPr>
        <w:t>impacts of</w:t>
      </w:r>
      <w:r>
        <w:rPr>
          <w:rFonts w:ascii="Calibri" w:hAnsi="Calibri" w:cs="Calibri"/>
          <w:sz w:val="21"/>
          <w:szCs w:val="21"/>
        </w:rPr>
        <w:t xml:space="preserve"> state</w:t>
      </w:r>
      <w:r w:rsidRPr="001E5726">
        <w:rPr>
          <w:rFonts w:ascii="Calibri" w:hAnsi="Calibri" w:cs="Calibri"/>
          <w:sz w:val="21"/>
          <w:szCs w:val="21"/>
        </w:rPr>
        <w:t xml:space="preserve"> policy proposals using IMPLAN and REMI</w:t>
      </w:r>
      <w:r>
        <w:rPr>
          <w:rFonts w:ascii="Calibri" w:hAnsi="Calibri" w:cs="Calibri"/>
          <w:sz w:val="21"/>
          <w:szCs w:val="21"/>
        </w:rPr>
        <w:t xml:space="preserve"> to inform legislative decision-making.</w:t>
      </w:r>
    </w:p>
    <w:p w14:paraId="6B3477AA" w14:textId="77777777" w:rsidR="00913BA8" w:rsidRPr="001E5726" w:rsidRDefault="00913BA8" w:rsidP="00913BA8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>Developed and refined forecasting processes for major General Fund revenue sources, including state sales and personal income taxes, to support budget planning and legislative negotiations.</w:t>
      </w:r>
    </w:p>
    <w:p w14:paraId="56DF9963" w14:textId="77777777" w:rsidR="00913BA8" w:rsidRPr="001E5726" w:rsidRDefault="00913BA8" w:rsidP="00913BA8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 xml:space="preserve">Estimated the </w:t>
      </w:r>
      <w:r>
        <w:rPr>
          <w:rFonts w:ascii="Calibri" w:hAnsi="Calibri" w:cs="Calibri"/>
          <w:sz w:val="21"/>
          <w:szCs w:val="21"/>
        </w:rPr>
        <w:t>revenue</w:t>
      </w:r>
      <w:r w:rsidRPr="001E5726">
        <w:rPr>
          <w:rFonts w:ascii="Calibri" w:hAnsi="Calibri" w:cs="Calibri"/>
          <w:sz w:val="21"/>
          <w:szCs w:val="21"/>
        </w:rPr>
        <w:t xml:space="preserve"> impact of a proposed state gas tax increase, modeling multiple rate scenarios and projected fuel consumption patterns to inform deliberations by legislative staff and the Department of Transportation.</w:t>
      </w:r>
    </w:p>
    <w:p w14:paraId="5B0C42B4" w14:textId="77777777" w:rsidR="00913BA8" w:rsidRPr="001E5726" w:rsidRDefault="00913BA8" w:rsidP="00913BA8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 xml:space="preserve">Conducted </w:t>
      </w:r>
      <w:r>
        <w:rPr>
          <w:rFonts w:ascii="Calibri" w:hAnsi="Calibri" w:cs="Calibri"/>
          <w:sz w:val="21"/>
          <w:szCs w:val="21"/>
        </w:rPr>
        <w:t xml:space="preserve">revenue </w:t>
      </w:r>
      <w:r w:rsidRPr="001E5726">
        <w:rPr>
          <w:rFonts w:ascii="Calibri" w:hAnsi="Calibri" w:cs="Calibri"/>
          <w:sz w:val="21"/>
          <w:szCs w:val="21"/>
        </w:rPr>
        <w:t>impact assessments for local sales tax proposals, providing revenue projections and supporting documentation to county officials for inclusion on voter ballots.</w:t>
      </w:r>
    </w:p>
    <w:p w14:paraId="0067E822" w14:textId="77777777" w:rsidR="00913BA8" w:rsidRPr="001E5726" w:rsidRDefault="00913BA8" w:rsidP="00913BA8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1E5726">
        <w:rPr>
          <w:rFonts w:ascii="Calibri" w:hAnsi="Calibri" w:cs="Calibri"/>
          <w:sz w:val="21"/>
          <w:szCs w:val="21"/>
        </w:rPr>
        <w:t>Produced fiscal briefs and macroeconomic outlooks using BLS, BEA, and FRED data; advised the Chief Economist and agency leads on state-level trends.</w:t>
      </w:r>
    </w:p>
    <w:p w14:paraId="230909DF" w14:textId="7BDA0DCB" w:rsidR="00FA363F" w:rsidRDefault="00913BA8" w:rsidP="00FA363F">
      <w:pPr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 w:rsidRPr="005B3D4B">
        <w:rPr>
          <w:rFonts w:ascii="Calibri" w:hAnsi="Calibri" w:cs="Calibri"/>
          <w:sz w:val="21"/>
          <w:szCs w:val="21"/>
        </w:rPr>
        <w:t>Liaised with South Carolina House and Senate staff to translate complex fiscal analyses into actionable insights.</w:t>
      </w:r>
      <w:r w:rsidRPr="005B3D4B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56842898" w14:textId="77777777" w:rsidR="00913BA8" w:rsidRPr="00913BA8" w:rsidRDefault="00913BA8" w:rsidP="00913BA8">
      <w:pPr>
        <w:ind w:left="720"/>
        <w:rPr>
          <w:rFonts w:ascii="Calibri" w:hAnsi="Calibri" w:cs="Calibri"/>
          <w:sz w:val="21"/>
          <w:szCs w:val="21"/>
        </w:rPr>
      </w:pPr>
    </w:p>
    <w:p w14:paraId="393C76A2" w14:textId="32E4786A" w:rsidR="00FA363F" w:rsidRPr="00CE256A" w:rsidRDefault="00FA363F" w:rsidP="00CE256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E256A">
        <w:rPr>
          <w:rFonts w:ascii="Calibri" w:hAnsi="Calibri" w:cs="Calibri"/>
          <w:b/>
          <w:bCs/>
          <w:sz w:val="22"/>
          <w:szCs w:val="22"/>
        </w:rPr>
        <w:t>Education</w:t>
      </w:r>
    </w:p>
    <w:p w14:paraId="07263979" w14:textId="214BE7FB" w:rsidR="00897A1F" w:rsidRDefault="00CE256A" w:rsidP="00CE256A">
      <w:pPr>
        <w:tabs>
          <w:tab w:val="right" w:pos="9990"/>
        </w:tabs>
        <w:jc w:val="center"/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Doctor of Philosophy (</w:t>
      </w:r>
      <w:r w:rsidR="00FA363F" w:rsidRPr="00CE256A">
        <w:rPr>
          <w:rFonts w:ascii="Calibri" w:hAnsi="Calibri" w:cs="Calibri"/>
          <w:b/>
          <w:bCs/>
          <w:sz w:val="21"/>
          <w:szCs w:val="21"/>
        </w:rPr>
        <w:t>PhD</w:t>
      </w:r>
      <w:r w:rsidRPr="00CE256A">
        <w:rPr>
          <w:rFonts w:ascii="Calibri" w:hAnsi="Calibri" w:cs="Calibri"/>
          <w:b/>
          <w:bCs/>
          <w:sz w:val="21"/>
          <w:szCs w:val="21"/>
        </w:rPr>
        <w:t>)</w:t>
      </w:r>
      <w:r w:rsidR="00FA363F" w:rsidRPr="00CE256A">
        <w:rPr>
          <w:rFonts w:ascii="Calibri" w:hAnsi="Calibri" w:cs="Calibri"/>
          <w:b/>
          <w:bCs/>
          <w:sz w:val="21"/>
          <w:szCs w:val="21"/>
        </w:rPr>
        <w:t xml:space="preserve"> Economics</w:t>
      </w:r>
      <w:r w:rsidRPr="00CE256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97A1F" w:rsidRPr="00CE256A">
        <w:rPr>
          <w:rFonts w:ascii="Calibri" w:hAnsi="Calibri" w:cs="Calibri"/>
          <w:sz w:val="21"/>
          <w:szCs w:val="21"/>
        </w:rPr>
        <w:t>University of South Carolina</w:t>
      </w:r>
    </w:p>
    <w:p w14:paraId="64820F6A" w14:textId="2ECA96EF" w:rsidR="00EF3932" w:rsidRPr="00CE256A" w:rsidRDefault="00EF3932" w:rsidP="00CE256A">
      <w:pPr>
        <w:tabs>
          <w:tab w:val="right" w:pos="9990"/>
        </w:tabs>
        <w:jc w:val="center"/>
        <w:rPr>
          <w:rFonts w:ascii="Calibri" w:hAnsi="Calibri" w:cs="Calibri"/>
          <w:sz w:val="21"/>
          <w:szCs w:val="21"/>
        </w:rPr>
      </w:pPr>
      <w:r w:rsidRPr="00D71C60">
        <w:rPr>
          <w:rFonts w:ascii="Calibri" w:hAnsi="Calibri" w:cs="Calibri"/>
          <w:b/>
          <w:bCs/>
          <w:sz w:val="21"/>
          <w:szCs w:val="21"/>
        </w:rPr>
        <w:t>Master of Arts (MA) Economics</w:t>
      </w:r>
      <w:r>
        <w:rPr>
          <w:rFonts w:ascii="Calibri" w:hAnsi="Calibri" w:cs="Calibri"/>
          <w:sz w:val="21"/>
          <w:szCs w:val="21"/>
        </w:rPr>
        <w:t xml:space="preserve"> University of South Carolina</w:t>
      </w:r>
    </w:p>
    <w:p w14:paraId="75C5B2D7" w14:textId="250A8D56" w:rsidR="00B33D66" w:rsidRPr="00CE256A" w:rsidRDefault="00CE256A" w:rsidP="00CE256A">
      <w:pPr>
        <w:tabs>
          <w:tab w:val="right" w:pos="9990"/>
        </w:tabs>
        <w:jc w:val="center"/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b/>
          <w:bCs/>
          <w:sz w:val="21"/>
          <w:szCs w:val="21"/>
        </w:rPr>
        <w:t>Bachelor of Arts (</w:t>
      </w:r>
      <w:r w:rsidR="00FA363F" w:rsidRPr="00CE256A">
        <w:rPr>
          <w:rFonts w:ascii="Calibri" w:hAnsi="Calibri" w:cs="Calibri"/>
          <w:b/>
          <w:bCs/>
          <w:sz w:val="21"/>
          <w:szCs w:val="21"/>
        </w:rPr>
        <w:t>BA</w:t>
      </w:r>
      <w:r w:rsidRPr="00CE256A">
        <w:rPr>
          <w:rFonts w:ascii="Calibri" w:hAnsi="Calibri" w:cs="Calibri"/>
          <w:b/>
          <w:bCs/>
          <w:sz w:val="21"/>
          <w:szCs w:val="21"/>
        </w:rPr>
        <w:t>)</w:t>
      </w:r>
      <w:r w:rsidR="00FA363F" w:rsidRPr="00CE256A">
        <w:rPr>
          <w:rFonts w:ascii="Calibri" w:hAnsi="Calibri" w:cs="Calibri"/>
          <w:b/>
          <w:bCs/>
          <w:sz w:val="21"/>
          <w:szCs w:val="21"/>
        </w:rPr>
        <w:t xml:space="preserve"> Political Science</w:t>
      </w:r>
      <w:r w:rsidRPr="00CE256A">
        <w:rPr>
          <w:rFonts w:ascii="Calibri" w:hAnsi="Calibri" w:cs="Calibri"/>
          <w:sz w:val="21"/>
          <w:szCs w:val="21"/>
        </w:rPr>
        <w:t xml:space="preserve"> </w:t>
      </w:r>
      <w:r w:rsidR="00343800" w:rsidRPr="00CE256A">
        <w:rPr>
          <w:rFonts w:ascii="Calibri" w:hAnsi="Calibri" w:cs="Calibri"/>
          <w:sz w:val="21"/>
          <w:szCs w:val="21"/>
        </w:rPr>
        <w:t>University of South Carolina</w:t>
      </w:r>
    </w:p>
    <w:p w14:paraId="5981D393" w14:textId="77777777" w:rsidR="00CE256A" w:rsidRPr="00CE256A" w:rsidRDefault="00CE256A" w:rsidP="00CE256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7386BF0F" w14:textId="757D0DA8" w:rsidR="00FA363F" w:rsidRPr="00CE256A" w:rsidRDefault="00FA363F" w:rsidP="00CE256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E256A">
        <w:rPr>
          <w:rFonts w:ascii="Calibri" w:hAnsi="Calibri" w:cs="Calibri"/>
          <w:b/>
          <w:bCs/>
          <w:sz w:val="22"/>
          <w:szCs w:val="22"/>
        </w:rPr>
        <w:t>Selected Publication</w:t>
      </w:r>
    </w:p>
    <w:p w14:paraId="135C88F4" w14:textId="77777777" w:rsidR="00FA363F" w:rsidRPr="00CE256A" w:rsidRDefault="00FA363F" w:rsidP="00FA363F">
      <w:pPr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>(Full list available at Personal Website) (http://www.breyononline.com/research.html)</w:t>
      </w:r>
    </w:p>
    <w:p w14:paraId="35FED5CF" w14:textId="236C5038" w:rsidR="008B445D" w:rsidRDefault="00FA363F" w:rsidP="00B33D66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 w:rsidRPr="00CE256A">
        <w:rPr>
          <w:rFonts w:ascii="Calibri" w:hAnsi="Calibri" w:cs="Calibri"/>
          <w:sz w:val="21"/>
          <w:szCs w:val="21"/>
        </w:rPr>
        <w:t>Williams, B. “The spillover benefits of expanding access to preschool.” (https://www.sciencedirect.com/science/article/abs/pii/S0272775717307938) Economics of Education Review.</w:t>
      </w:r>
    </w:p>
    <w:p w14:paraId="371C4CA9" w14:textId="53B5B873" w:rsidR="00573589" w:rsidRDefault="00573589" w:rsidP="00B33D66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Interviewed by media to discuss the economic implications of Biden’s student debt relief proposed plan in 2022</w:t>
      </w:r>
    </w:p>
    <w:p w14:paraId="1E2B6BFA" w14:textId="77777777" w:rsidR="00E42D66" w:rsidRDefault="00E42D66" w:rsidP="00E42D66">
      <w:pPr>
        <w:rPr>
          <w:rFonts w:ascii="Calibri" w:hAnsi="Calibri" w:cs="Calibri"/>
          <w:sz w:val="21"/>
          <w:szCs w:val="21"/>
        </w:rPr>
      </w:pPr>
    </w:p>
    <w:p w14:paraId="5269F537" w14:textId="77777777" w:rsidR="00E64D1E" w:rsidRPr="00683786" w:rsidRDefault="00E64D1E" w:rsidP="00E64D1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Policy Engagement &amp; Thought Leadership</w:t>
      </w:r>
    </w:p>
    <w:p w14:paraId="45F12CE6" w14:textId="77777777" w:rsidR="00E64D1E" w:rsidRDefault="00E64D1E" w:rsidP="00E64D1E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Submitted </w:t>
      </w:r>
      <w:r w:rsidRPr="001F0063">
        <w:rPr>
          <w:rFonts w:ascii="Calibri" w:hAnsi="Calibri" w:cs="Calibri"/>
          <w:sz w:val="21"/>
          <w:szCs w:val="21"/>
        </w:rPr>
        <w:t xml:space="preserve">policy proposals to the National Economic Council outlining administrative levers to reduce student loan repayment </w:t>
      </w:r>
      <w:r>
        <w:rPr>
          <w:rFonts w:ascii="Calibri" w:hAnsi="Calibri" w:cs="Calibri"/>
          <w:sz w:val="21"/>
          <w:szCs w:val="21"/>
        </w:rPr>
        <w:t>costs</w:t>
      </w:r>
      <w:r w:rsidRPr="001F0063">
        <w:rPr>
          <w:rFonts w:ascii="Calibri" w:hAnsi="Calibri" w:cs="Calibri"/>
          <w:sz w:val="21"/>
          <w:szCs w:val="21"/>
        </w:rPr>
        <w:t>, including automatic payment incentives and elimination of default-related collection costs</w:t>
      </w:r>
    </w:p>
    <w:p w14:paraId="50545F4D" w14:textId="77777777" w:rsidR="00E64D1E" w:rsidRDefault="00E64D1E" w:rsidP="00E64D1E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Maintains </w:t>
      </w:r>
      <w:r w:rsidRPr="001F0063">
        <w:rPr>
          <w:rFonts w:ascii="Calibri" w:hAnsi="Calibri" w:cs="Calibri"/>
          <w:sz w:val="21"/>
          <w:szCs w:val="21"/>
        </w:rPr>
        <w:t>working relationships with staff at Urban Institute, Brookings, RAND, AIR, and Gates Foundation</w:t>
      </w:r>
    </w:p>
    <w:p w14:paraId="4FD8EE74" w14:textId="77777777" w:rsidR="00E64D1E" w:rsidRDefault="00E64D1E" w:rsidP="00E64D1E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Presented </w:t>
      </w:r>
      <w:r w:rsidRPr="001F0063">
        <w:rPr>
          <w:rFonts w:ascii="Calibri" w:hAnsi="Calibri" w:cs="Calibri"/>
          <w:sz w:val="21"/>
          <w:szCs w:val="21"/>
        </w:rPr>
        <w:t>research at AEA, AEFP, and APPAM (labor/education-focused)</w:t>
      </w:r>
    </w:p>
    <w:p w14:paraId="65185419" w14:textId="52EC769D" w:rsidR="00E42D66" w:rsidRPr="00E64D1E" w:rsidRDefault="00E64D1E" w:rsidP="00E42D66">
      <w:pPr>
        <w:pStyle w:val="ListParagraph"/>
        <w:numPr>
          <w:ilvl w:val="0"/>
          <w:numId w:val="2"/>
        </w:numPr>
        <w:ind w:left="540" w:hanging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Served as </w:t>
      </w:r>
      <w:r w:rsidRPr="001F0063">
        <w:rPr>
          <w:rFonts w:ascii="Calibri" w:hAnsi="Calibri" w:cs="Calibri"/>
          <w:sz w:val="21"/>
          <w:szCs w:val="21"/>
        </w:rPr>
        <w:t>mentor in the AEA Summer Mentoring Pipeline Program</w:t>
      </w:r>
    </w:p>
    <w:sectPr w:rsidR="00E42D66" w:rsidRPr="00E64D1E" w:rsidSect="0021351D">
      <w:headerReference w:type="default" r:id="rId7"/>
      <w:pgSz w:w="12240" w:h="15840" w:code="1"/>
      <w:pgMar w:top="1080" w:right="1080" w:bottom="108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6272" w14:textId="77777777" w:rsidR="00753DC5" w:rsidRDefault="00753DC5" w:rsidP="00CE256A">
      <w:r>
        <w:separator/>
      </w:r>
    </w:p>
  </w:endnote>
  <w:endnote w:type="continuationSeparator" w:id="0">
    <w:p w14:paraId="535181CF" w14:textId="77777777" w:rsidR="00753DC5" w:rsidRDefault="00753DC5" w:rsidP="00C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375" w14:textId="77777777" w:rsidR="00753DC5" w:rsidRDefault="00753DC5" w:rsidP="00CE256A">
      <w:r>
        <w:separator/>
      </w:r>
    </w:p>
  </w:footnote>
  <w:footnote w:type="continuationSeparator" w:id="0">
    <w:p w14:paraId="033E093C" w14:textId="77777777" w:rsidR="00753DC5" w:rsidRDefault="00753DC5" w:rsidP="00CE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AB9D" w14:textId="77777777" w:rsidR="00BF2B22" w:rsidRPr="00BA6E29" w:rsidRDefault="00BF2B22" w:rsidP="00BF2B22">
    <w:pPr>
      <w:tabs>
        <w:tab w:val="decimal" w:pos="4680"/>
        <w:tab w:val="decimal" w:pos="4770"/>
        <w:tab w:val="right" w:pos="9990"/>
      </w:tabs>
      <w:rPr>
        <w:rFonts w:ascii="Calibri" w:hAnsi="Calibri" w:cs="Calibri"/>
        <w:sz w:val="21"/>
        <w:szCs w:val="21"/>
      </w:rPr>
    </w:pPr>
    <w:r w:rsidRPr="00BA6E29">
      <w:rPr>
        <w:rFonts w:ascii="Calibri" w:hAnsi="Calibri" w:cs="Calibri"/>
        <w:sz w:val="21"/>
        <w:szCs w:val="21"/>
      </w:rPr>
      <w:t>Breyon Williams</w:t>
    </w:r>
    <w:r w:rsidRPr="00BA6E29">
      <w:rPr>
        <w:rFonts w:ascii="Calibri" w:hAnsi="Calibri" w:cs="Calibri"/>
        <w:sz w:val="21"/>
        <w:szCs w:val="21"/>
      </w:rPr>
      <w:tab/>
      <w:t>breyon.contact@gmail.com</w:t>
    </w:r>
    <w:r w:rsidRPr="00BA6E29">
      <w:rPr>
        <w:rFonts w:ascii="Calibri" w:hAnsi="Calibri" w:cs="Calibri"/>
        <w:sz w:val="21"/>
        <w:szCs w:val="21"/>
      </w:rPr>
      <w:tab/>
      <w:t>Page 2</w:t>
    </w:r>
  </w:p>
  <w:p w14:paraId="36C0EECA" w14:textId="52AA56C8" w:rsidR="00CE256A" w:rsidRDefault="00CE2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9E1"/>
    <w:multiLevelType w:val="multilevel"/>
    <w:tmpl w:val="E876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27161"/>
    <w:multiLevelType w:val="multilevel"/>
    <w:tmpl w:val="C19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F3BF6"/>
    <w:multiLevelType w:val="hybridMultilevel"/>
    <w:tmpl w:val="C86A06E2"/>
    <w:lvl w:ilvl="0" w:tplc="6E96E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8631B"/>
    <w:multiLevelType w:val="hybridMultilevel"/>
    <w:tmpl w:val="B7FC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09A5"/>
    <w:multiLevelType w:val="multilevel"/>
    <w:tmpl w:val="7808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A3816"/>
    <w:multiLevelType w:val="hybridMultilevel"/>
    <w:tmpl w:val="CD70DB76"/>
    <w:lvl w:ilvl="0" w:tplc="6E96E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70CFE"/>
    <w:multiLevelType w:val="hybridMultilevel"/>
    <w:tmpl w:val="EEC0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568AA"/>
    <w:multiLevelType w:val="hybridMultilevel"/>
    <w:tmpl w:val="042431A4"/>
    <w:lvl w:ilvl="0" w:tplc="6E96E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F61A7"/>
    <w:multiLevelType w:val="hybridMultilevel"/>
    <w:tmpl w:val="23A284CE"/>
    <w:lvl w:ilvl="0" w:tplc="6E96E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C22D3"/>
    <w:multiLevelType w:val="hybridMultilevel"/>
    <w:tmpl w:val="599070B6"/>
    <w:lvl w:ilvl="0" w:tplc="6E96E9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33642">
    <w:abstractNumId w:val="3"/>
  </w:num>
  <w:num w:numId="2" w16cid:durableId="1394356448">
    <w:abstractNumId w:val="2"/>
  </w:num>
  <w:num w:numId="3" w16cid:durableId="1574386487">
    <w:abstractNumId w:val="9"/>
  </w:num>
  <w:num w:numId="4" w16cid:durableId="327369113">
    <w:abstractNumId w:val="8"/>
  </w:num>
  <w:num w:numId="5" w16cid:durableId="1370453932">
    <w:abstractNumId w:val="7"/>
  </w:num>
  <w:num w:numId="6" w16cid:durableId="1086075852">
    <w:abstractNumId w:val="5"/>
  </w:num>
  <w:num w:numId="7" w16cid:durableId="948009910">
    <w:abstractNumId w:val="6"/>
  </w:num>
  <w:num w:numId="8" w16cid:durableId="336807196">
    <w:abstractNumId w:val="4"/>
  </w:num>
  <w:num w:numId="9" w16cid:durableId="1850899908">
    <w:abstractNumId w:val="1"/>
  </w:num>
  <w:num w:numId="10" w16cid:durableId="30057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3F"/>
    <w:rsid w:val="000E0160"/>
    <w:rsid w:val="00104525"/>
    <w:rsid w:val="00121D92"/>
    <w:rsid w:val="001656B6"/>
    <w:rsid w:val="001C5AE3"/>
    <w:rsid w:val="0021351D"/>
    <w:rsid w:val="00287F23"/>
    <w:rsid w:val="002B0ECA"/>
    <w:rsid w:val="002F1065"/>
    <w:rsid w:val="00343800"/>
    <w:rsid w:val="00391A5F"/>
    <w:rsid w:val="003C7CB6"/>
    <w:rsid w:val="00435C3D"/>
    <w:rsid w:val="004C664F"/>
    <w:rsid w:val="00501837"/>
    <w:rsid w:val="00544B1D"/>
    <w:rsid w:val="0056051C"/>
    <w:rsid w:val="00573589"/>
    <w:rsid w:val="005A3603"/>
    <w:rsid w:val="006767A0"/>
    <w:rsid w:val="006C29D0"/>
    <w:rsid w:val="00753DC5"/>
    <w:rsid w:val="00897A1F"/>
    <w:rsid w:val="008B445D"/>
    <w:rsid w:val="008F1EA2"/>
    <w:rsid w:val="00913BA8"/>
    <w:rsid w:val="0092739C"/>
    <w:rsid w:val="0095612F"/>
    <w:rsid w:val="00984174"/>
    <w:rsid w:val="0098475B"/>
    <w:rsid w:val="009C6A1D"/>
    <w:rsid w:val="00A12E9F"/>
    <w:rsid w:val="00A605B8"/>
    <w:rsid w:val="00AF6DE1"/>
    <w:rsid w:val="00B33D66"/>
    <w:rsid w:val="00B41C96"/>
    <w:rsid w:val="00B83F53"/>
    <w:rsid w:val="00BA6E29"/>
    <w:rsid w:val="00BB3C08"/>
    <w:rsid w:val="00BD2C6E"/>
    <w:rsid w:val="00BF2B22"/>
    <w:rsid w:val="00CE256A"/>
    <w:rsid w:val="00D62479"/>
    <w:rsid w:val="00D71C60"/>
    <w:rsid w:val="00E00577"/>
    <w:rsid w:val="00E42D66"/>
    <w:rsid w:val="00E518F4"/>
    <w:rsid w:val="00E64D1E"/>
    <w:rsid w:val="00E9756D"/>
    <w:rsid w:val="00ED3FFA"/>
    <w:rsid w:val="00EE3C9B"/>
    <w:rsid w:val="00EF3932"/>
    <w:rsid w:val="00F26942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54FCB"/>
  <w15:chartTrackingRefBased/>
  <w15:docId w15:val="{809BC835-E27E-49EC-A05B-1C44C464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6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6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56A"/>
  </w:style>
  <w:style w:type="paragraph" w:styleId="Footer">
    <w:name w:val="footer"/>
    <w:basedOn w:val="Normal"/>
    <w:link w:val="FooterChar"/>
    <w:uiPriority w:val="99"/>
    <w:unhideWhenUsed/>
    <w:rsid w:val="00CE2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56A"/>
  </w:style>
  <w:style w:type="character" w:styleId="CommentReference">
    <w:name w:val="annotation reference"/>
    <w:basedOn w:val="DefaultParagraphFont"/>
    <w:uiPriority w:val="99"/>
    <w:semiHidden/>
    <w:unhideWhenUsed/>
    <w:rsid w:val="00CE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5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851</Words>
  <Characters>5810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Porscha Duncan</dc:creator>
  <cp:keywords/>
  <dc:description/>
  <cp:lastModifiedBy>Breyon Williams</cp:lastModifiedBy>
  <cp:revision>14</cp:revision>
  <dcterms:created xsi:type="dcterms:W3CDTF">2025-04-11T15:08:00Z</dcterms:created>
  <dcterms:modified xsi:type="dcterms:W3CDTF">2026-04-30T19:01:00Z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4968a6d5631f0ba06496d40a74b557a692ddb22007d8ae96eb30fd0ff575f890</vt:lpwstr>
  </property>
</Properties>
</file>